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附件1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92" w:firstLineChars="200"/>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
          <w:sz w:val="44"/>
          <w:szCs w:val="44"/>
          <w14:textOutline w14:w="6350" w14:cap="flat" w14:cmpd="sng">
            <w14:solidFill>
              <w14:srgbClr w14:val="000000"/>
            </w14:solidFill>
            <w14:prstDash w14:val="solid"/>
            <w14:miter w14:val="0"/>
          </w14:textOutline>
        </w:rPr>
        <w:t>中国国际大学生创新大赛（2024）</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912"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position w:val="3"/>
          <w:sz w:val="44"/>
          <w:szCs w:val="44"/>
          <w14:textOutline w14:w="6350" w14:cap="flat" w14:cmpd="sng">
            <w14:solidFill>
              <w14:srgbClr w14:val="000000"/>
            </w14:solidFill>
            <w14:prstDash w14:val="solid"/>
            <w14:miter w14:val="0"/>
          </w14:textOutline>
        </w:rPr>
        <w:t>高教主赛道方案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中国国际大学生创新大赛（2024）设高教主赛道（含国际参赛项目），具体实施方案如下。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黑体" w:hAnsi="黑体" w:eastAsia="黑体" w:cs="黑体"/>
          <w:snapToGrid w:val="0"/>
          <w:color w:val="231F20"/>
          <w:spacing w:val="18"/>
          <w:kern w:val="0"/>
          <w:sz w:val="28"/>
          <w:szCs w:val="28"/>
          <w:lang w:val="en-US" w:eastAsia="en-US" w:bidi="ar-SA"/>
        </w:rPr>
      </w:pPr>
      <w:r>
        <w:rPr>
          <w:rFonts w:hint="eastAsia" w:ascii="黑体" w:hAnsi="黑体" w:eastAsia="黑体" w:cs="黑体"/>
          <w:snapToGrid w:val="0"/>
          <w:color w:val="231F20"/>
          <w:spacing w:val="18"/>
          <w:kern w:val="0"/>
          <w:sz w:val="28"/>
          <w:szCs w:val="28"/>
          <w:lang w:val="en-US" w:eastAsia="en-US" w:bidi="ar-SA"/>
        </w:rPr>
        <w:t>一、参赛项目类型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（一）新工科类项目：大数据、云计算、人工智能、区块链、虚拟现实、智能制造、网络空间安全、机器人工程、工业自动化、新材料等领域，符合新工科建设理念和要求的项目；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（二）新医科类项目：现代医疗技术、智能医疗设备、新药研发、健康康养、食药保健、智能医学、生物技术、生物材料等领域，符合新医科建设理念和要求的项目；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（三）新农科类项目：现代种业、智慧农业、智能农机装备、农业大数据、食品营养、休闲农业、森林康养、生态修复、农业碳汇等领域，符合新农科建设理念和要求的项目；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（五）“人工智能+”项目：聚焦于人工智能深度融合经济社会各领域发展、赋能千行百业智能化转型升级，符合“人工智能+”发展理念和要求的项目。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参赛项目团队应认真了解和把握新质生产力的内涵及要求结合以上分类及项目实际，合理选择参赛项目类别，根据“四新”“人工智能+”建设内涵和产业发展方向选择相应类型。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黑体" w:hAnsi="黑体" w:eastAsia="黑体" w:cs="黑体"/>
          <w:snapToGrid w:val="0"/>
          <w:color w:val="231F20"/>
          <w:spacing w:val="18"/>
          <w:kern w:val="0"/>
          <w:sz w:val="28"/>
          <w:szCs w:val="28"/>
          <w:lang w:val="en-US" w:eastAsia="en-US" w:bidi="ar-SA"/>
        </w:rPr>
      </w:pPr>
      <w:r>
        <w:rPr>
          <w:rFonts w:hint="eastAsia" w:ascii="黑体" w:hAnsi="黑体" w:eastAsia="黑体" w:cs="黑体"/>
          <w:snapToGrid w:val="0"/>
          <w:color w:val="231F20"/>
          <w:spacing w:val="18"/>
          <w:kern w:val="0"/>
          <w:sz w:val="28"/>
          <w:szCs w:val="28"/>
          <w:lang w:val="en-US" w:eastAsia="en-US" w:bidi="ar-SA"/>
        </w:rPr>
        <w:t>二、参赛方式和要求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本赛道以团队为单位报名参赛。允许跨校组建参赛团队，每个团队的成员不少于3人，不多于15人（含团队负责人），须为项目的实际核心成员。参赛团队所报参赛项目，须为本团队策划或经营的项目，不得借用他人项目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黑体" w:hAnsi="黑体" w:eastAsia="黑体" w:cs="黑体"/>
          <w:snapToGrid w:val="0"/>
          <w:color w:val="231F20"/>
          <w:spacing w:val="18"/>
          <w:kern w:val="0"/>
          <w:sz w:val="28"/>
          <w:szCs w:val="28"/>
          <w:lang w:val="en-US" w:eastAsia="en-US" w:bidi="ar-SA"/>
        </w:rPr>
      </w:pPr>
      <w:r>
        <w:rPr>
          <w:rFonts w:hint="eastAsia" w:ascii="黑体" w:hAnsi="黑体" w:eastAsia="黑体" w:cs="黑体"/>
          <w:snapToGrid w:val="0"/>
          <w:color w:val="231F20"/>
          <w:spacing w:val="18"/>
          <w:kern w:val="0"/>
          <w:sz w:val="28"/>
          <w:szCs w:val="28"/>
          <w:lang w:val="en-US" w:eastAsia="en-US" w:bidi="ar-SA"/>
        </w:rPr>
        <w:t>三、参赛组别和对象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根据参赛申报人所处学习阶段，项目分为本科生组、研究生组。根据项目发展阶段，本科生组和研究生组均内设创意组、创业组，并按照新工科、新医科、新农科、新文科、“人工智能+”设置参赛项目类型。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具体参赛条件如下：</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pacing w:val="6"/>
          <w:sz w:val="28"/>
          <w:szCs w:val="28"/>
        </w:rPr>
        <w:t>本科生组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16" w:firstLineChars="1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1.创意组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（1）参赛项目具有较好的创意和较为成型的产品原型或服务模式，在大赛通知下发之日前尚未完成工商等各类登记注册。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（2）参赛申报人须为项目负责人，项目负责人及成员均须为普通高等学校全日制在校本专科生（不含在职教育）。</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（3）学校科技成果转化项目不能参加本组比赛（科技成果的完成人、所有人中参赛申报人排名第一的除外）。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2.创业组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（1）参赛项目须已完成工商等各类登记注册（在大赛通知下发之日前注册）。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napToGrid w:val="0"/>
          <w:color w:val="231F20"/>
          <w:spacing w:val="18"/>
          <w:kern w:val="0"/>
          <w:sz w:val="28"/>
          <w:szCs w:val="28"/>
          <w:lang w:val="en-US" w:eastAsia="en-US" w:bidi="ar-SA"/>
        </w:rPr>
      </w:pPr>
      <w:r>
        <w:rPr>
          <w:rFonts w:hint="eastAsia" w:ascii="仿宋_GB2312" w:hAnsi="仿宋_GB2312" w:eastAsia="仿宋_GB2312" w:cs="仿宋_GB2312"/>
          <w:snapToGrid w:val="0"/>
          <w:color w:val="231F20"/>
          <w:spacing w:val="18"/>
          <w:kern w:val="0"/>
          <w:sz w:val="28"/>
          <w:szCs w:val="28"/>
          <w:lang w:val="en-US" w:eastAsia="en-US" w:bidi="ar-SA"/>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28"/>
          <w:szCs w:val="28"/>
        </w:rPr>
        <w:sectPr>
          <w:pgSz w:w="11907" w:h="16839"/>
          <w:pgMar w:top="1431" w:right="1785" w:bottom="1385" w:left="1785" w:header="0" w:footer="1111" w:gutter="0"/>
          <w:pgNumType w:fmt="decimal"/>
          <w:cols w:space="720" w:num="1"/>
        </w:sectPr>
      </w:pPr>
      <w:r>
        <w:rPr>
          <w:rFonts w:hint="eastAsia" w:ascii="仿宋_GB2312" w:hAnsi="仿宋_GB2312" w:eastAsia="仿宋_GB2312" w:cs="仿宋_GB2312"/>
          <w:snapToGrid w:val="0"/>
          <w:color w:val="231F20"/>
          <w:spacing w:val="18"/>
          <w:kern w:val="0"/>
          <w:sz w:val="28"/>
          <w:szCs w:val="28"/>
          <w:lang w:val="en-US" w:eastAsia="en-US" w:bidi="ar-SA"/>
        </w:rPr>
        <w:t>（3）项目的股权结构中，企业法定代表人的股权不得少于10%，参赛团队成员股权合计不得少于1/3。</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D9D18"/>
    <w:multiLevelType w:val="singleLevel"/>
    <w:tmpl w:val="00FD9D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YWFlNDQ2OWIzYjQxNjNhNWZlZDczNGU1ZTI3ZGUifQ=="/>
  </w:docVars>
  <w:rsids>
    <w:rsidRoot w:val="21317D06"/>
    <w:rsid w:val="2131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2024-05-28T08:41:00Z</dcterms:created>
  <dc:creator>原来是攀攀</dc:creator>
  <cp:lastModifiedBy>原来是攀攀</cp:lastModifiedBy>
  <dcterms:modified xsi:type="dcterms:W3CDTF">2024-05-28T08:41:18Z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7732B9EF77954767BDE90D04F37F1B73_11</vt:lpwstr>
  </property>
</Properties>
</file>